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7258" w:type="dxa"/>
        <w:jc w:val="center"/>
        <w:tblCellSpacing w:w="0" w:type="dxa"/>
        <w:tblBorders>
          <w:top w:val="single" w:sz="4" w:space="0" w:color="D1D1D1"/>
          <w:bottom w:val="single" w:sz="4" w:space="0" w:color="D1D1D1"/>
        </w:tblBorders>
        <w:tblCellMar>
          <w:top w:w="173" w:type="dxa"/>
          <w:left w:w="0" w:type="dxa"/>
          <w:bottom w:w="230" w:type="dxa"/>
          <w:right w:w="0" w:type="dxa"/>
        </w:tblCellMar>
        <w:tblLook w:val="04A0"/>
      </w:tblPr>
      <w:tblGrid>
        <w:gridCol w:w="7258"/>
      </w:tblGrid>
      <w:tr w:rsidR="00892DB1" w:rsidRPr="00892DB1" w:rsidTr="00892DB1">
        <w:trPr>
          <w:tblCellSpacing w:w="0" w:type="dxa"/>
          <w:jc w:val="center"/>
        </w:trPr>
        <w:tc>
          <w:tcPr>
            <w:tcW w:w="0" w:type="auto"/>
            <w:shd w:val="clear" w:color="auto" w:fill="FFFFFF"/>
            <w:tcMar>
              <w:top w:w="0" w:type="dxa"/>
              <w:left w:w="0" w:type="dxa"/>
              <w:bottom w:w="0" w:type="dxa"/>
              <w:right w:w="0" w:type="dxa"/>
            </w:tcMar>
            <w:vAlign w:val="center"/>
            <w:hideMark/>
          </w:tcPr>
          <w:p w:rsidR="00892DB1" w:rsidRPr="00892DB1" w:rsidRDefault="00892DB1" w:rsidP="00892DB1">
            <w:pPr>
              <w:spacing w:after="0" w:line="240" w:lineRule="auto"/>
              <w:rPr>
                <w:rFonts w:ascii="Arial" w:eastAsia="Times New Roman" w:hAnsi="Arial" w:cs="Arial"/>
                <w:color w:val="333333"/>
                <w:sz w:val="24"/>
                <w:szCs w:val="24"/>
                <w:lang w:val="es-PR"/>
              </w:rPr>
            </w:pPr>
            <w:r>
              <w:rPr>
                <w:rFonts w:ascii="Georgia" w:eastAsia="Times New Roman" w:hAnsi="Georgia" w:cs="Arial"/>
                <w:b/>
                <w:bCs/>
                <w:color w:val="333333"/>
                <w:spacing w:val="-9"/>
                <w:sz w:val="28"/>
                <w:szCs w:val="28"/>
                <w:lang w:val="es-PR"/>
              </w:rPr>
              <w:t xml:space="preserve">Clarín        </w:t>
            </w:r>
            <w:r w:rsidRPr="00892DB1">
              <w:rPr>
                <w:rFonts w:ascii="Georgia" w:eastAsia="Times New Roman" w:hAnsi="Georgia" w:cs="Arial"/>
                <w:b/>
                <w:bCs/>
                <w:color w:val="333333"/>
                <w:spacing w:val="-9"/>
                <w:sz w:val="28"/>
                <w:szCs w:val="28"/>
                <w:lang w:val="es-PR"/>
              </w:rPr>
              <w:t>7 minutos</w:t>
            </w:r>
          </w:p>
          <w:p w:rsidR="00892DB1" w:rsidRPr="00892DB1" w:rsidRDefault="00892DB1" w:rsidP="00892DB1">
            <w:pPr>
              <w:spacing w:after="0" w:line="276" w:lineRule="atLeast"/>
              <w:rPr>
                <w:rFonts w:ascii="Arial" w:eastAsia="Times New Roman" w:hAnsi="Arial" w:cs="Arial"/>
                <w:color w:val="555555"/>
                <w:spacing w:val="-3"/>
                <w:sz w:val="13"/>
                <w:szCs w:val="13"/>
                <w:lang w:val="es-PR"/>
              </w:rPr>
            </w:pPr>
            <w:r w:rsidRPr="00892DB1">
              <w:rPr>
                <w:rFonts w:ascii="Arial" w:eastAsia="Times New Roman" w:hAnsi="Arial" w:cs="Arial"/>
                <w:color w:val="555555"/>
                <w:spacing w:val="-3"/>
                <w:sz w:val="13"/>
                <w:szCs w:val="13"/>
                <w:lang w:val="es-PR"/>
              </w:rPr>
              <w:t>Martes 12, de Mayo de 2026</w:t>
            </w:r>
          </w:p>
        </w:tc>
      </w:tr>
      <w:tr w:rsidR="00892DB1" w:rsidRPr="00892DB1" w:rsidTr="00892DB1">
        <w:trPr>
          <w:tblCellSpacing w:w="0" w:type="dxa"/>
          <w:jc w:val="center"/>
        </w:trPr>
        <w:tc>
          <w:tcPr>
            <w:tcW w:w="0" w:type="auto"/>
            <w:shd w:val="clear" w:color="auto" w:fill="FFFFFF"/>
            <w:tcMar>
              <w:top w:w="0" w:type="dxa"/>
              <w:left w:w="0" w:type="dxa"/>
              <w:bottom w:w="0" w:type="dxa"/>
              <w:right w:w="0" w:type="dxa"/>
            </w:tcMar>
            <w:vAlign w:val="center"/>
          </w:tcPr>
          <w:p w:rsidR="00892DB1" w:rsidRDefault="00892DB1" w:rsidP="00892DB1">
            <w:pPr>
              <w:spacing w:after="0" w:line="240" w:lineRule="auto"/>
              <w:rPr>
                <w:rFonts w:ascii="Georgia" w:eastAsia="Times New Roman" w:hAnsi="Georgia" w:cs="Arial"/>
                <w:b/>
                <w:bCs/>
                <w:color w:val="333333"/>
                <w:spacing w:val="-9"/>
                <w:sz w:val="28"/>
                <w:szCs w:val="28"/>
                <w:lang w:val="es-PR"/>
              </w:rPr>
            </w:pPr>
          </w:p>
        </w:tc>
      </w:tr>
    </w:tbl>
    <w:p w:rsidR="00892DB1" w:rsidRPr="00892DB1" w:rsidRDefault="00892DB1" w:rsidP="00892DB1">
      <w:pPr>
        <w:spacing w:after="0" w:line="240" w:lineRule="auto"/>
        <w:rPr>
          <w:rFonts w:ascii="Arial" w:eastAsia="Times New Roman" w:hAnsi="Arial" w:cs="Arial"/>
          <w:vanish/>
          <w:color w:val="222222"/>
          <w:sz w:val="24"/>
          <w:szCs w:val="24"/>
          <w:lang w:val="es-PR"/>
        </w:rPr>
      </w:pPr>
    </w:p>
    <w:tbl>
      <w:tblPr>
        <w:tblW w:w="11915" w:type="dxa"/>
        <w:jc w:val="center"/>
        <w:tblCellSpacing w:w="15" w:type="dxa"/>
        <w:tblCellMar>
          <w:left w:w="0" w:type="dxa"/>
          <w:right w:w="0" w:type="dxa"/>
        </w:tblCellMar>
        <w:tblLook w:val="04A0"/>
      </w:tblPr>
      <w:tblGrid>
        <w:gridCol w:w="45"/>
        <w:gridCol w:w="11825"/>
        <w:gridCol w:w="45"/>
      </w:tblGrid>
      <w:tr w:rsidR="00892DB1" w:rsidRPr="00892DB1" w:rsidTr="00892DB1">
        <w:trPr>
          <w:tblCellSpacing w:w="15" w:type="dxa"/>
          <w:jc w:val="center"/>
        </w:trPr>
        <w:tc>
          <w:tcPr>
            <w:tcW w:w="0" w:type="auto"/>
            <w:gridSpan w:val="3"/>
            <w:vAlign w:val="center"/>
            <w:hideMark/>
          </w:tcPr>
          <w:p w:rsidR="00892DB1" w:rsidRPr="00892DB1" w:rsidRDefault="00892DB1" w:rsidP="00892DB1">
            <w:pPr>
              <w:spacing w:after="0" w:line="240" w:lineRule="auto"/>
              <w:rPr>
                <w:rFonts w:ascii="Arial" w:eastAsia="Times New Roman" w:hAnsi="Arial" w:cs="Arial"/>
                <w:color w:val="BABABA"/>
                <w:sz w:val="16"/>
                <w:szCs w:val="16"/>
                <w:lang w:val="es-PR"/>
              </w:rPr>
            </w:pPr>
          </w:p>
        </w:tc>
      </w:tr>
      <w:tr w:rsidR="00892DB1" w:rsidRPr="00892DB1" w:rsidTr="00892DB1">
        <w:tblPrEx>
          <w:tblCellSpacing w:w="0" w:type="dxa"/>
          <w:shd w:val="clear" w:color="auto" w:fill="FFFFFF"/>
          <w:tblCellMar>
            <w:left w:w="104" w:type="dxa"/>
            <w:right w:w="104" w:type="dxa"/>
          </w:tblCellMar>
        </w:tblPrEx>
        <w:trPr>
          <w:gridBefore w:val="1"/>
          <w:gridAfter w:val="1"/>
          <w:tblCellSpacing w:w="0" w:type="dxa"/>
          <w:jc w:val="center"/>
        </w:trPr>
        <w:tc>
          <w:tcPr>
            <w:tcW w:w="5000" w:type="pct"/>
            <w:shd w:val="clear" w:color="auto" w:fill="FFFFFF"/>
            <w:tcMar>
              <w:top w:w="230" w:type="dxa"/>
              <w:left w:w="0" w:type="dxa"/>
              <w:bottom w:w="115" w:type="dxa"/>
              <w:right w:w="0" w:type="dxa"/>
            </w:tcMar>
            <w:vAlign w:val="center"/>
            <w:hideMark/>
          </w:tcPr>
          <w:p w:rsidR="00892DB1" w:rsidRPr="00892DB1" w:rsidRDefault="00892DB1" w:rsidP="00892DB1">
            <w:pPr>
              <w:spacing w:after="0" w:line="311" w:lineRule="atLeast"/>
              <w:jc w:val="center"/>
              <w:rPr>
                <w:rFonts w:ascii="Georgia" w:eastAsia="Times New Roman" w:hAnsi="Georgia" w:cs="Arial"/>
                <w:i/>
                <w:iCs/>
                <w:color w:val="333333"/>
                <w:sz w:val="25"/>
                <w:szCs w:val="25"/>
                <w:lang w:val="es-PR"/>
              </w:rPr>
            </w:pPr>
          </w:p>
        </w:tc>
      </w:tr>
    </w:tbl>
    <w:p w:rsidR="00892DB1" w:rsidRPr="00892DB1" w:rsidRDefault="00892DB1" w:rsidP="00892DB1">
      <w:pPr>
        <w:spacing w:after="0" w:line="240" w:lineRule="auto"/>
        <w:rPr>
          <w:rFonts w:ascii="Arial" w:eastAsia="Times New Roman" w:hAnsi="Arial" w:cs="Arial"/>
          <w:vanish/>
          <w:color w:val="222222"/>
          <w:sz w:val="24"/>
          <w:szCs w:val="24"/>
        </w:rPr>
      </w:pPr>
    </w:p>
    <w:tbl>
      <w:tblPr>
        <w:tblW w:w="5000" w:type="pct"/>
        <w:tblCellSpacing w:w="0" w:type="dxa"/>
        <w:shd w:val="clear" w:color="auto" w:fill="F5F1E9"/>
        <w:tblCellMar>
          <w:top w:w="173" w:type="dxa"/>
          <w:left w:w="173" w:type="dxa"/>
          <w:bottom w:w="173" w:type="dxa"/>
          <w:right w:w="173" w:type="dxa"/>
        </w:tblCellMar>
        <w:tblLook w:val="04A0"/>
      </w:tblPr>
      <w:tblGrid>
        <w:gridCol w:w="8496"/>
        <w:gridCol w:w="1094"/>
      </w:tblGrid>
      <w:tr w:rsidR="00892DB1" w:rsidRPr="00892DB1" w:rsidTr="00892DB1">
        <w:trPr>
          <w:gridAfter w:val="1"/>
          <w:tblCellSpacing w:w="0" w:type="dxa"/>
        </w:trPr>
        <w:tc>
          <w:tcPr>
            <w:tcW w:w="5000" w:type="pct"/>
            <w:shd w:val="clear" w:color="auto" w:fill="F5F1E9"/>
            <w:tcMar>
              <w:top w:w="115" w:type="dxa"/>
              <w:left w:w="115" w:type="dxa"/>
              <w:bottom w:w="115" w:type="dxa"/>
              <w:right w:w="115" w:type="dxa"/>
            </w:tcMar>
            <w:vAlign w:val="center"/>
            <w:hideMark/>
          </w:tcPr>
          <w:p w:rsidR="00892DB1" w:rsidRPr="00892DB1" w:rsidRDefault="00892DB1" w:rsidP="00892DB1">
            <w:pPr>
              <w:spacing w:after="173" w:line="288" w:lineRule="atLeast"/>
              <w:rPr>
                <w:rFonts w:ascii="Georgia" w:eastAsia="Times New Roman" w:hAnsi="Georgia" w:cs="Arial"/>
                <w:color w:val="3B575D"/>
                <w:sz w:val="21"/>
                <w:szCs w:val="21"/>
                <w:lang w:val="es-PR"/>
              </w:rPr>
            </w:pPr>
            <w:r w:rsidRPr="00892DB1">
              <w:rPr>
                <w:rFonts w:ascii="Georgia" w:eastAsia="Times New Roman" w:hAnsi="Georgia" w:cs="Arial"/>
                <w:color w:val="3B575D"/>
                <w:sz w:val="21"/>
                <w:szCs w:val="21"/>
                <w:lang w:val="es-PR"/>
              </w:rPr>
              <w:t>El </w:t>
            </w:r>
            <w:r w:rsidRPr="00892DB1">
              <w:rPr>
                <w:rFonts w:ascii="Georgia" w:eastAsia="Times New Roman" w:hAnsi="Georgia" w:cs="Arial"/>
                <w:b/>
                <w:bCs/>
                <w:color w:val="3B575D"/>
                <w:sz w:val="21"/>
                <w:lang w:val="es-PR"/>
              </w:rPr>
              <w:t>Gobierno abrió otro frente de conflicto con las universidades</w:t>
            </w:r>
            <w:r w:rsidRPr="00892DB1">
              <w:rPr>
                <w:rFonts w:ascii="Georgia" w:eastAsia="Times New Roman" w:hAnsi="Georgia" w:cs="Arial"/>
                <w:color w:val="3B575D"/>
                <w:sz w:val="21"/>
                <w:szCs w:val="21"/>
                <w:lang w:val="es-PR"/>
              </w:rPr>
              <w:t>, luego de negarse a cumplir con la Ley de Financiamiento que comprendía un aumento en los fondos destinados a las casas de estudio de todo el país. Más aún, horas antes de </w:t>
            </w:r>
            <w:r w:rsidRPr="00892DB1">
              <w:rPr>
                <w:rFonts w:ascii="Georgia" w:eastAsia="Times New Roman" w:hAnsi="Georgia" w:cs="Arial"/>
                <w:b/>
                <w:bCs/>
                <w:color w:val="3B575D"/>
                <w:sz w:val="21"/>
                <w:lang w:val="es-PR"/>
              </w:rPr>
              <w:t>una nueva marcha</w:t>
            </w:r>
            <w:r w:rsidRPr="00892DB1">
              <w:rPr>
                <w:rFonts w:ascii="Georgia" w:eastAsia="Times New Roman" w:hAnsi="Georgia" w:cs="Arial"/>
                <w:color w:val="3B575D"/>
                <w:sz w:val="21"/>
                <w:szCs w:val="21"/>
                <w:lang w:val="es-PR"/>
              </w:rPr>
              <w:t>, </w:t>
            </w:r>
            <w:hyperlink r:id="rId4" w:tgtFrame="_blank" w:history="1">
              <w:r w:rsidRPr="00892DB1">
                <w:rPr>
                  <w:rFonts w:ascii="Georgia" w:eastAsia="Times New Roman" w:hAnsi="Georgia" w:cs="Arial"/>
                  <w:color w:val="1155CC"/>
                  <w:sz w:val="21"/>
                  <w:u w:val="single"/>
                  <w:lang w:val="es-PR"/>
                </w:rPr>
                <w:t>anunció</w:t>
              </w:r>
            </w:hyperlink>
            <w:r w:rsidRPr="00892DB1">
              <w:rPr>
                <w:rFonts w:ascii="Georgia" w:eastAsia="Times New Roman" w:hAnsi="Georgia" w:cs="Arial"/>
                <w:color w:val="3B575D"/>
                <w:sz w:val="21"/>
                <w:szCs w:val="21"/>
                <w:lang w:val="es-PR"/>
              </w:rPr>
              <w:t> el recorte en el presupuesto que comprende menos dinero para un grupo de universidades del interior.</w:t>
            </w:r>
          </w:p>
          <w:p w:rsidR="00892DB1" w:rsidRPr="00892DB1" w:rsidRDefault="00892DB1" w:rsidP="00892DB1">
            <w:pPr>
              <w:spacing w:after="173" w:line="288" w:lineRule="atLeast"/>
              <w:rPr>
                <w:rFonts w:ascii="Georgia" w:eastAsia="Times New Roman" w:hAnsi="Georgia" w:cs="Arial"/>
                <w:color w:val="3B575D"/>
                <w:sz w:val="21"/>
                <w:szCs w:val="21"/>
                <w:lang w:val="es-PR"/>
              </w:rPr>
            </w:pPr>
            <w:r w:rsidRPr="00892DB1">
              <w:rPr>
                <w:rFonts w:ascii="Georgia" w:eastAsia="Times New Roman" w:hAnsi="Georgia" w:cs="Arial"/>
                <w:color w:val="3B575D"/>
                <w:sz w:val="21"/>
                <w:szCs w:val="21"/>
                <w:lang w:val="es-PR"/>
              </w:rPr>
              <w:t xml:space="preserve">Erróneamente, la Casa Rosada recurrió a la Corte Suprema para que avale una medida cautelar que presentó ante la Justicia, que le reclamaba el cumplimiento de la ley. Es muy poco probable que el Alto Tribunal convalide la rebeldía de la administración de Javier </w:t>
            </w:r>
            <w:proofErr w:type="spellStart"/>
            <w:r w:rsidRPr="00892DB1">
              <w:rPr>
                <w:rFonts w:ascii="Georgia" w:eastAsia="Times New Roman" w:hAnsi="Georgia" w:cs="Arial"/>
                <w:color w:val="3B575D"/>
                <w:sz w:val="21"/>
                <w:szCs w:val="21"/>
                <w:lang w:val="es-PR"/>
              </w:rPr>
              <w:t>Milei</w:t>
            </w:r>
            <w:proofErr w:type="spellEnd"/>
            <w:r w:rsidRPr="00892DB1">
              <w:rPr>
                <w:rFonts w:ascii="Georgia" w:eastAsia="Times New Roman" w:hAnsi="Georgia" w:cs="Arial"/>
                <w:color w:val="3B575D"/>
                <w:sz w:val="21"/>
                <w:szCs w:val="21"/>
                <w:lang w:val="es-PR"/>
              </w:rPr>
              <w:t>. Pero hasta que eso ocurra, </w:t>
            </w:r>
            <w:r w:rsidRPr="00892DB1">
              <w:rPr>
                <w:rFonts w:ascii="Georgia" w:eastAsia="Times New Roman" w:hAnsi="Georgia" w:cs="Arial"/>
                <w:b/>
                <w:bCs/>
                <w:color w:val="3B575D"/>
                <w:sz w:val="21"/>
                <w:lang w:val="es-PR"/>
              </w:rPr>
              <w:t>la gestión libertaria pagará otro costo político.</w:t>
            </w:r>
          </w:p>
          <w:p w:rsidR="00892DB1" w:rsidRPr="00892DB1" w:rsidRDefault="00892DB1" w:rsidP="00892DB1">
            <w:pPr>
              <w:spacing w:after="173" w:line="288" w:lineRule="atLeast"/>
              <w:rPr>
                <w:rFonts w:ascii="Georgia" w:eastAsia="Times New Roman" w:hAnsi="Georgia" w:cs="Arial"/>
                <w:color w:val="3B575D"/>
                <w:sz w:val="21"/>
                <w:szCs w:val="21"/>
                <w:lang w:val="es-PR"/>
              </w:rPr>
            </w:pPr>
            <w:r w:rsidRPr="00892DB1">
              <w:rPr>
                <w:rFonts w:ascii="Georgia" w:eastAsia="Times New Roman" w:hAnsi="Georgia" w:cs="Arial"/>
                <w:color w:val="3B575D"/>
                <w:sz w:val="21"/>
                <w:szCs w:val="21"/>
                <w:lang w:val="es-PR"/>
              </w:rPr>
              <w:t>Si la marcha universitaria de hoy tiene una </w:t>
            </w:r>
            <w:hyperlink r:id="rId5" w:tgtFrame="_blank" w:history="1">
              <w:r w:rsidRPr="00892DB1">
                <w:rPr>
                  <w:rFonts w:ascii="Georgia" w:eastAsia="Times New Roman" w:hAnsi="Georgia" w:cs="Arial"/>
                  <w:color w:val="1155CC"/>
                  <w:sz w:val="21"/>
                  <w:u w:val="single"/>
                  <w:lang w:val="es-PR"/>
                </w:rPr>
                <w:t>contundente convocatoria</w:t>
              </w:r>
            </w:hyperlink>
            <w:r w:rsidRPr="00892DB1">
              <w:rPr>
                <w:rFonts w:ascii="Georgia" w:eastAsia="Times New Roman" w:hAnsi="Georgia" w:cs="Arial"/>
                <w:color w:val="3B575D"/>
                <w:sz w:val="21"/>
                <w:szCs w:val="21"/>
                <w:lang w:val="es-PR"/>
              </w:rPr>
              <w:t>, se convertirá en una manifestación no solo por la autonomía universitaria y el reclamo para que el erario envíe los fondos correspondientes: será </w:t>
            </w:r>
            <w:r w:rsidRPr="00892DB1">
              <w:rPr>
                <w:rFonts w:ascii="Georgia" w:eastAsia="Times New Roman" w:hAnsi="Georgia" w:cs="Arial"/>
                <w:b/>
                <w:bCs/>
                <w:color w:val="3B575D"/>
                <w:sz w:val="21"/>
                <w:lang w:val="es-PR"/>
              </w:rPr>
              <w:t>una marcha contra el Gobierno</w:t>
            </w:r>
            <w:r w:rsidRPr="00892DB1">
              <w:rPr>
                <w:rFonts w:ascii="Georgia" w:eastAsia="Times New Roman" w:hAnsi="Georgia" w:cs="Arial"/>
                <w:color w:val="3B575D"/>
                <w:sz w:val="21"/>
                <w:szCs w:val="21"/>
                <w:lang w:val="es-PR"/>
              </w:rPr>
              <w:t> que también canalizará el enojo de un segmento de la sociedad, que viene creciendo en volumen, y cuyo trasfondo es la delicada situación económica que atraviesa con recorte de salarios, caída del poder adquisitivo, una inflación elevada, restricciones en el consumo y falta de empleo.</w:t>
            </w:r>
          </w:p>
          <w:p w:rsidR="00892DB1" w:rsidRPr="00892DB1" w:rsidRDefault="00892DB1" w:rsidP="00892DB1">
            <w:pPr>
              <w:spacing w:after="173" w:line="288" w:lineRule="atLeast"/>
              <w:rPr>
                <w:rFonts w:ascii="Georgia" w:eastAsia="Times New Roman" w:hAnsi="Georgia" w:cs="Arial"/>
                <w:color w:val="3B575D"/>
                <w:sz w:val="21"/>
                <w:szCs w:val="21"/>
                <w:lang w:val="es-PR"/>
              </w:rPr>
            </w:pPr>
            <w:r w:rsidRPr="00892DB1">
              <w:rPr>
                <w:rFonts w:ascii="Georgia" w:eastAsia="Times New Roman" w:hAnsi="Georgia" w:cs="Arial"/>
                <w:b/>
                <w:bCs/>
                <w:color w:val="3B575D"/>
                <w:sz w:val="21"/>
                <w:lang w:val="es-PR"/>
              </w:rPr>
              <w:t xml:space="preserve">La última marcha obligó a Javier </w:t>
            </w:r>
            <w:proofErr w:type="spellStart"/>
            <w:r w:rsidRPr="00892DB1">
              <w:rPr>
                <w:rFonts w:ascii="Georgia" w:eastAsia="Times New Roman" w:hAnsi="Georgia" w:cs="Arial"/>
                <w:b/>
                <w:bCs/>
                <w:color w:val="3B575D"/>
                <w:sz w:val="21"/>
                <w:lang w:val="es-PR"/>
              </w:rPr>
              <w:t>Milei</w:t>
            </w:r>
            <w:proofErr w:type="spellEnd"/>
            <w:r w:rsidRPr="00892DB1">
              <w:rPr>
                <w:rFonts w:ascii="Georgia" w:eastAsia="Times New Roman" w:hAnsi="Georgia" w:cs="Arial"/>
                <w:b/>
                <w:bCs/>
                <w:color w:val="3B575D"/>
                <w:sz w:val="21"/>
                <w:lang w:val="es-PR"/>
              </w:rPr>
              <w:t xml:space="preserve"> a dar marcha atrás</w:t>
            </w:r>
            <w:r w:rsidRPr="00892DB1">
              <w:rPr>
                <w:rFonts w:ascii="Georgia" w:eastAsia="Times New Roman" w:hAnsi="Georgia" w:cs="Arial"/>
                <w:color w:val="3B575D"/>
                <w:sz w:val="21"/>
                <w:szCs w:val="21"/>
                <w:lang w:val="es-PR"/>
              </w:rPr>
              <w:t> con el recorte presupuestario y a entablar un diálogo con las autoridades de las universidades. ¿Esta vez ocurrirá lo mismo?</w:t>
            </w:r>
          </w:p>
          <w:p w:rsidR="00892DB1" w:rsidRPr="00892DB1" w:rsidRDefault="00892DB1" w:rsidP="00892DB1">
            <w:pPr>
              <w:spacing w:after="173" w:line="288" w:lineRule="atLeast"/>
              <w:rPr>
                <w:rFonts w:ascii="Georgia" w:eastAsia="Times New Roman" w:hAnsi="Georgia" w:cs="Arial"/>
                <w:color w:val="3B575D"/>
                <w:sz w:val="21"/>
                <w:szCs w:val="21"/>
              </w:rPr>
            </w:pPr>
            <w:r w:rsidRPr="00892DB1">
              <w:rPr>
                <w:rFonts w:ascii="Georgia" w:eastAsia="Times New Roman" w:hAnsi="Georgia" w:cs="Arial"/>
                <w:color w:val="3B575D"/>
                <w:sz w:val="21"/>
                <w:szCs w:val="21"/>
                <w:lang w:val="es-PR"/>
              </w:rPr>
              <w:t xml:space="preserve">Estas son las noticias más importantes del día. </w:t>
            </w:r>
            <w:r w:rsidRPr="00892DB1">
              <w:rPr>
                <w:rFonts w:ascii="Georgia" w:eastAsia="Times New Roman" w:hAnsi="Georgia" w:cs="Arial"/>
                <w:color w:val="3B575D"/>
                <w:sz w:val="21"/>
                <w:szCs w:val="21"/>
              </w:rPr>
              <w:t>¡</w:t>
            </w:r>
            <w:proofErr w:type="spellStart"/>
            <w:r w:rsidRPr="00892DB1">
              <w:rPr>
                <w:rFonts w:ascii="Georgia" w:eastAsia="Times New Roman" w:hAnsi="Georgia" w:cs="Arial"/>
                <w:color w:val="3B575D"/>
                <w:sz w:val="21"/>
                <w:szCs w:val="21"/>
              </w:rPr>
              <w:t>Buen</w:t>
            </w:r>
            <w:proofErr w:type="spellEnd"/>
            <w:r w:rsidRPr="00892DB1">
              <w:rPr>
                <w:rFonts w:ascii="Georgia" w:eastAsia="Times New Roman" w:hAnsi="Georgia" w:cs="Arial"/>
                <w:color w:val="3B575D"/>
                <w:sz w:val="21"/>
                <w:szCs w:val="21"/>
              </w:rPr>
              <w:t xml:space="preserve"> </w:t>
            </w:r>
            <w:proofErr w:type="spellStart"/>
            <w:r w:rsidRPr="00892DB1">
              <w:rPr>
                <w:rFonts w:ascii="Georgia" w:eastAsia="Times New Roman" w:hAnsi="Georgia" w:cs="Arial"/>
                <w:color w:val="3B575D"/>
                <w:sz w:val="21"/>
                <w:szCs w:val="21"/>
              </w:rPr>
              <w:t>martes</w:t>
            </w:r>
            <w:proofErr w:type="spellEnd"/>
            <w:r w:rsidRPr="00892DB1">
              <w:rPr>
                <w:rFonts w:ascii="Georgia" w:eastAsia="Times New Roman" w:hAnsi="Georgia" w:cs="Arial"/>
                <w:color w:val="3B575D"/>
                <w:sz w:val="21"/>
                <w:szCs w:val="21"/>
              </w:rPr>
              <w:t>!</w:t>
            </w:r>
          </w:p>
        </w:tc>
      </w:tr>
      <w:tr w:rsidR="00892DB1" w:rsidRPr="00892DB1" w:rsidTr="00892DB1">
        <w:trPr>
          <w:gridAfter w:val="1"/>
          <w:trHeight w:val="225"/>
          <w:tblCellSpacing w:w="0" w:type="dxa"/>
        </w:trPr>
        <w:tc>
          <w:tcPr>
            <w:tcW w:w="5000" w:type="pct"/>
            <w:shd w:val="clear" w:color="auto" w:fill="F5F1E9"/>
            <w:tcMar>
              <w:top w:w="0" w:type="dxa"/>
              <w:left w:w="0" w:type="dxa"/>
              <w:bottom w:w="0" w:type="dxa"/>
              <w:right w:w="0" w:type="dxa"/>
            </w:tcMar>
            <w:vAlign w:val="center"/>
            <w:hideMark/>
          </w:tcPr>
          <w:p w:rsidR="00892DB1" w:rsidRPr="00892DB1" w:rsidRDefault="00892DB1" w:rsidP="00892DB1">
            <w:pPr>
              <w:spacing w:after="0" w:line="240" w:lineRule="auto"/>
              <w:rPr>
                <w:rFonts w:ascii="Arial" w:eastAsia="Times New Roman" w:hAnsi="Arial" w:cs="Arial"/>
                <w:color w:val="333333"/>
                <w:szCs w:val="24"/>
              </w:rPr>
            </w:pPr>
          </w:p>
        </w:tc>
      </w:tr>
      <w:tr w:rsidR="00892DB1" w:rsidRPr="00892DB1" w:rsidTr="00892DB1">
        <w:trPr>
          <w:tblCellSpacing w:w="0" w:type="dxa"/>
        </w:trPr>
        <w:tc>
          <w:tcPr>
            <w:tcW w:w="0" w:type="auto"/>
            <w:shd w:val="clear" w:color="auto" w:fill="F5F1E9"/>
            <w:tcMar>
              <w:top w:w="0" w:type="dxa"/>
              <w:left w:w="0" w:type="dxa"/>
              <w:bottom w:w="0" w:type="dxa"/>
              <w:right w:w="0" w:type="dxa"/>
            </w:tcMar>
            <w:vAlign w:val="center"/>
            <w:hideMark/>
          </w:tcPr>
          <w:p w:rsidR="00892DB1" w:rsidRPr="00892DB1" w:rsidRDefault="00892DB1" w:rsidP="00892DB1">
            <w:pPr>
              <w:spacing w:after="0" w:line="240" w:lineRule="auto"/>
              <w:rPr>
                <w:rFonts w:ascii="Arial" w:eastAsia="Times New Roman" w:hAnsi="Arial" w:cs="Arial"/>
                <w:color w:val="333333"/>
                <w:sz w:val="24"/>
                <w:szCs w:val="24"/>
              </w:rPr>
            </w:pPr>
          </w:p>
        </w:tc>
        <w:tc>
          <w:tcPr>
            <w:tcW w:w="0" w:type="auto"/>
            <w:shd w:val="clear" w:color="auto" w:fill="F5F1E9"/>
            <w:tcMar>
              <w:top w:w="115" w:type="dxa"/>
              <w:left w:w="0" w:type="dxa"/>
              <w:bottom w:w="0" w:type="dxa"/>
              <w:right w:w="0" w:type="dxa"/>
            </w:tcMar>
            <w:vAlign w:val="center"/>
            <w:hideMark/>
          </w:tcPr>
          <w:p w:rsidR="00892DB1" w:rsidRPr="00892DB1" w:rsidRDefault="00892DB1" w:rsidP="00892DB1">
            <w:pPr>
              <w:spacing w:after="0" w:line="240" w:lineRule="auto"/>
              <w:rPr>
                <w:rFonts w:ascii="Arial" w:eastAsia="Times New Roman" w:hAnsi="Arial" w:cs="Arial"/>
                <w:caps/>
                <w:color w:val="555555"/>
                <w:sz w:val="24"/>
                <w:szCs w:val="24"/>
              </w:rPr>
            </w:pPr>
            <w:r w:rsidRPr="00892DB1">
              <w:rPr>
                <w:rFonts w:ascii="Arial" w:eastAsia="Times New Roman" w:hAnsi="Arial" w:cs="Arial"/>
                <w:caps/>
                <w:color w:val="555555"/>
                <w:sz w:val="24"/>
                <w:szCs w:val="24"/>
              </w:rPr>
              <w:t>editado por</w:t>
            </w:r>
          </w:p>
          <w:p w:rsidR="00892DB1" w:rsidRPr="00892DB1" w:rsidRDefault="00892DB1" w:rsidP="00892DB1">
            <w:pPr>
              <w:spacing w:after="0" w:line="240" w:lineRule="auto"/>
              <w:rPr>
                <w:rFonts w:ascii="Arial" w:eastAsia="Times New Roman" w:hAnsi="Arial" w:cs="Arial"/>
                <w:caps/>
                <w:color w:val="555555"/>
                <w:sz w:val="24"/>
                <w:szCs w:val="24"/>
              </w:rPr>
            </w:pPr>
            <w:r w:rsidRPr="00892DB1">
              <w:rPr>
                <w:rFonts w:ascii="Arial" w:eastAsia="Times New Roman" w:hAnsi="Arial" w:cs="Arial"/>
                <w:caps/>
                <w:color w:val="555555"/>
                <w:sz w:val="24"/>
                <w:szCs w:val="24"/>
              </w:rPr>
              <w:t>Walter Schmidt</w:t>
            </w:r>
          </w:p>
        </w:tc>
      </w:tr>
    </w:tbl>
    <w:p w:rsidR="00DE6CBE" w:rsidRDefault="00892DB1"/>
    <w:sectPr w:rsidR="00DE6CBE" w:rsidSect="0096411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892DB1"/>
    <w:rsid w:val="001B4A6E"/>
    <w:rsid w:val="002F453B"/>
    <w:rsid w:val="00892DB1"/>
    <w:rsid w:val="009641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411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92DB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92DB1"/>
    <w:rPr>
      <w:b/>
      <w:bCs/>
    </w:rPr>
  </w:style>
  <w:style w:type="character" w:styleId="Hyperlink">
    <w:name w:val="Hyperlink"/>
    <w:basedOn w:val="DefaultParagraphFont"/>
    <w:uiPriority w:val="99"/>
    <w:semiHidden/>
    <w:unhideWhenUsed/>
    <w:rsid w:val="00892DB1"/>
    <w:rPr>
      <w:color w:val="0000FF"/>
      <w:u w:val="single"/>
    </w:rPr>
  </w:style>
</w:styles>
</file>

<file path=word/webSettings.xml><?xml version="1.0" encoding="utf-8"?>
<w:webSettings xmlns:r="http://schemas.openxmlformats.org/officeDocument/2006/relationships" xmlns:w="http://schemas.openxmlformats.org/wordprocessingml/2006/main">
  <w:divs>
    <w:div w:id="623538933">
      <w:bodyDiv w:val="1"/>
      <w:marLeft w:val="0"/>
      <w:marRight w:val="0"/>
      <w:marTop w:val="0"/>
      <w:marBottom w:val="0"/>
      <w:divBdr>
        <w:top w:val="none" w:sz="0" w:space="0" w:color="auto"/>
        <w:left w:val="none" w:sz="0" w:space="0" w:color="auto"/>
        <w:bottom w:val="none" w:sz="0" w:space="0" w:color="auto"/>
        <w:right w:val="none" w:sz="0" w:space="0" w:color="auto"/>
      </w:divBdr>
      <w:divsChild>
        <w:div w:id="1654795280">
          <w:marLeft w:val="0"/>
          <w:marRight w:val="0"/>
          <w:marTop w:val="0"/>
          <w:marBottom w:val="0"/>
          <w:divBdr>
            <w:top w:val="none" w:sz="0" w:space="0" w:color="auto"/>
            <w:left w:val="none" w:sz="0" w:space="0" w:color="auto"/>
            <w:bottom w:val="none" w:sz="0" w:space="0" w:color="auto"/>
            <w:right w:val="none" w:sz="0" w:space="0" w:color="auto"/>
          </w:divBdr>
          <w:divsChild>
            <w:div w:id="14582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app.noticias.clarin.com/e/er?s=1741127422&amp;lid=257110&amp;elqTrackId=544d0dbd874246df9602438222671d17&amp;elq=759efbf4b64e476cbc30f49c5ca1ac60&amp;elqaid=2493790&amp;elqat=1&amp;elqak=8AF5173F7CCCA94213718932DD66B39CE53B5227CA7E3DBC717B1320D59894675097" TargetMode="External"/><Relationship Id="rId4" Type="http://schemas.openxmlformats.org/officeDocument/2006/relationships/hyperlink" Target="https://app.noticias.clarin.com/e/er?s=1741127422&amp;lid=257112&amp;elqTrackId=400eddacdad14d5588452e622db02a06&amp;elq=759efbf4b64e476cbc30f49c5ca1ac60&amp;elqaid=2493790&amp;elqat=1&amp;elqak=8AF5B4A0003E4BF3888CEC86C1238F0984DC5227CA7E3DBC717B1320D598946750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315</Words>
  <Characters>1800</Characters>
  <Application>Microsoft Office Word</Application>
  <DocSecurity>0</DocSecurity>
  <Lines>15</Lines>
  <Paragraphs>4</Paragraphs>
  <ScaleCrop>false</ScaleCrop>
  <Company>Deftones</Company>
  <LinksUpToDate>false</LinksUpToDate>
  <CharactersWithSpaces>2111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lanuevaunionpr@gmail.com</dc:creator>
  <cp:lastModifiedBy>lanuevaunionpr@gmail.com</cp:lastModifiedBy>
  <cp:revision>1</cp:revision>
  <dcterms:created xsi:type="dcterms:W3CDTF">2026-05-12T11:35:00Z</dcterms:created>
  <dcterms:modified xsi:type="dcterms:W3CDTF">2026-05-12T11:38:00Z</dcterms:modified>
</cp:coreProperties>
</file>